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3A" w:rsidRDefault="005A2B3A" w:rsidP="005A2B3A">
      <w:pPr>
        <w:spacing w:line="264" w:lineRule="auto"/>
        <w:ind w:right="12816"/>
        <w:jc w:val="both"/>
        <w:rPr>
          <w:rFonts w:ascii="Tahoma" w:hAnsi="Tahoma"/>
          <w:color w:val="000000"/>
          <w:spacing w:val="14"/>
          <w:sz w:val="13"/>
          <w:lang w:val="hr-HR"/>
        </w:rPr>
      </w:pPr>
      <w:r>
        <w:rPr>
          <w:rFonts w:ascii="Tahoma" w:hAnsi="Tahoma"/>
          <w:color w:val="000000"/>
          <w:spacing w:val="14"/>
          <w:sz w:val="13"/>
          <w:lang w:val="hr-HR"/>
        </w:rPr>
        <w:t xml:space="preserve">DOM ZDRAVLJA SISAK </w:t>
      </w:r>
      <w:r>
        <w:rPr>
          <w:rFonts w:ascii="Tahoma" w:hAnsi="Tahoma"/>
          <w:color w:val="000000"/>
          <w:spacing w:val="12"/>
          <w:sz w:val="13"/>
          <w:lang w:val="hr-HR"/>
        </w:rPr>
        <w:t>KRALJA TOMISLAVA 1 44000 SISAK</w:t>
      </w:r>
    </w:p>
    <w:p w:rsidR="005A2B3A" w:rsidRDefault="005A2B3A" w:rsidP="005A2B3A">
      <w:pPr>
        <w:spacing w:before="1008" w:after="648" w:line="208" w:lineRule="auto"/>
        <w:ind w:left="4248"/>
        <w:rPr>
          <w:rFonts w:ascii="Tahoma" w:hAnsi="Tahoma"/>
          <w:color w:val="000000"/>
          <w:spacing w:val="8"/>
          <w:sz w:val="17"/>
          <w:lang w:val="hr-HR"/>
        </w:rPr>
      </w:pPr>
      <w:r>
        <w:rPr>
          <w:rFonts w:ascii="Tahoma" w:hAnsi="Tahoma"/>
          <w:color w:val="000000"/>
          <w:spacing w:val="8"/>
          <w:sz w:val="17"/>
          <w:lang w:val="hr-HR"/>
        </w:rPr>
        <w:t>POPIS SUDSKIH SPOROVA U TIJEKU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1776"/>
        <w:gridCol w:w="1819"/>
        <w:gridCol w:w="2294"/>
        <w:gridCol w:w="1210"/>
        <w:gridCol w:w="1915"/>
        <w:gridCol w:w="2496"/>
        <w:gridCol w:w="1623"/>
        <w:gridCol w:w="734"/>
      </w:tblGrid>
      <w:tr w:rsidR="005A2B3A" w:rsidTr="00B22FC2">
        <w:trPr>
          <w:trHeight w:hRule="exact" w:val="187"/>
        </w:trPr>
        <w:tc>
          <w:tcPr>
            <w:tcW w:w="605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Red.br.</w:t>
            </w:r>
          </w:p>
        </w:tc>
        <w:tc>
          <w:tcPr>
            <w:tcW w:w="1776" w:type="dxa"/>
            <w:vMerge w:val="restart"/>
            <w:tcBorders>
              <w:top w:val="single" w:sz="5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A2B3A" w:rsidRDefault="005A2B3A" w:rsidP="00B22FC2">
            <w:pPr>
              <w:ind w:right="505"/>
              <w:jc w:val="right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Tuženik</w:t>
            </w:r>
          </w:p>
        </w:tc>
        <w:tc>
          <w:tcPr>
            <w:tcW w:w="1819" w:type="dxa"/>
            <w:vMerge w:val="restart"/>
            <w:tcBorders>
              <w:top w:val="single" w:sz="5" w:space="0" w:color="000000"/>
              <w:left w:val="none" w:sz="0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ind w:right="566"/>
              <w:jc w:val="right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Tužileij</w:t>
            </w:r>
          </w:p>
        </w:tc>
        <w:tc>
          <w:tcPr>
            <w:tcW w:w="2294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ind w:left="308"/>
              <w:rPr>
                <w:rFonts w:ascii="Tahoma" w:hAnsi="Tahoma"/>
                <w:color w:val="000000"/>
                <w:spacing w:val="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Sažeti opis prirode spora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ind w:right="110"/>
              <w:jc w:val="right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Iznos glavnice</w:t>
            </w:r>
          </w:p>
        </w:tc>
        <w:tc>
          <w:tcPr>
            <w:tcW w:w="1915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pacing w:val="5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5"/>
                <w:sz w:val="13"/>
                <w:lang w:val="hr-HR"/>
              </w:rPr>
              <w:t>Procjena financijskcg učinka</w:t>
            </w: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spacing w:before="72" w:line="56" w:lineRule="exact"/>
              <w:ind w:right="540"/>
              <w:jc w:val="right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Procijenjeno vrijeme</w:t>
            </w:r>
          </w:p>
          <w:p w:rsidR="005A2B3A" w:rsidRDefault="005A2B3A" w:rsidP="00B22FC2">
            <w:pPr>
              <w:spacing w:line="111" w:lineRule="exact"/>
              <w:ind w:left="2378"/>
              <w:rPr>
                <w:rFonts w:ascii="Arial" w:hAnsi="Arial"/>
                <w:color w:val="000000"/>
                <w:w w:val="140"/>
                <w:sz w:val="47"/>
                <w:lang w:val="hr-HR"/>
              </w:rPr>
            </w:pPr>
            <w:r>
              <w:rPr>
                <w:rFonts w:ascii="Arial" w:hAnsi="Arial"/>
                <w:color w:val="000000"/>
                <w:w w:val="140"/>
                <w:sz w:val="47"/>
                <w:lang w:val="hr-HR"/>
              </w:rPr>
              <w:t>i</w:t>
            </w:r>
          </w:p>
        </w:tc>
        <w:tc>
          <w:tcPr>
            <w:tcW w:w="1623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ind w:left="33"/>
              <w:rPr>
                <w:rFonts w:ascii="Tahoma" w:hAnsi="Tahoma"/>
                <w:color w:val="000000"/>
                <w:spacing w:val="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Početak sudskog spora</w:t>
            </w:r>
          </w:p>
        </w:tc>
        <w:tc>
          <w:tcPr>
            <w:tcW w:w="734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Napomena</w:t>
            </w:r>
          </w:p>
        </w:tc>
      </w:tr>
      <w:tr w:rsidR="005A2B3A" w:rsidTr="00B22FC2">
        <w:trPr>
          <w:trHeight w:hRule="exact" w:val="187"/>
        </w:trPr>
        <w:tc>
          <w:tcPr>
            <w:tcW w:w="605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5A2B3A" w:rsidRDefault="005A2B3A" w:rsidP="00B22FC2"/>
        </w:tc>
        <w:tc>
          <w:tcPr>
            <w:tcW w:w="1776" w:type="dxa"/>
            <w:vMerge/>
            <w:tcBorders>
              <w:top w:val="none" w:sz="0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5A2B3A" w:rsidRDefault="005A2B3A" w:rsidP="00B22FC2"/>
        </w:tc>
        <w:tc>
          <w:tcPr>
            <w:tcW w:w="1819" w:type="dxa"/>
            <w:vMerge/>
            <w:tcBorders>
              <w:top w:val="none" w:sz="0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/>
        </w:tc>
        <w:tc>
          <w:tcPr>
            <w:tcW w:w="2294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/>
        </w:tc>
        <w:tc>
          <w:tcPr>
            <w:tcW w:w="1210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/>
        </w:tc>
        <w:tc>
          <w:tcPr>
            <w:tcW w:w="1915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/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pacing w:val="3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3"/>
                <w:sz w:val="13"/>
                <w:lang w:val="hr-HR"/>
              </w:rPr>
              <w:t>odljeva ili pril</w:t>
            </w:r>
            <w:r>
              <w:rPr>
                <w:rFonts w:ascii="Arial" w:hAnsi="Arial"/>
                <w:color w:val="000000"/>
                <w:spacing w:val="3"/>
                <w:w w:val="110"/>
                <w:sz w:val="14"/>
                <w:lang w:val="hr-HR"/>
              </w:rPr>
              <w:t xml:space="preserve">jeva </w:t>
            </w:r>
            <w:r>
              <w:rPr>
                <w:rFonts w:ascii="Tahoma" w:hAnsi="Tahoma"/>
                <w:color w:val="000000"/>
                <w:spacing w:val="3"/>
                <w:sz w:val="13"/>
                <w:lang w:val="hr-HR"/>
              </w:rPr>
              <w:t>sredstava</w:t>
            </w:r>
          </w:p>
        </w:tc>
        <w:tc>
          <w:tcPr>
            <w:tcW w:w="1623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/>
        </w:tc>
        <w:tc>
          <w:tcPr>
            <w:tcW w:w="734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A2B3A" w:rsidRDefault="005A2B3A" w:rsidP="00B22FC2"/>
        </w:tc>
      </w:tr>
      <w:tr w:rsidR="005A2B3A" w:rsidTr="00B22FC2">
        <w:trPr>
          <w:trHeight w:hRule="exact" w:val="711"/>
        </w:trPr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1</w:t>
            </w:r>
          </w:p>
        </w:tc>
        <w:tc>
          <w:tcPr>
            <w:tcW w:w="177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ind w:left="52"/>
              <w:rPr>
                <w:rFonts w:ascii="Tahoma" w:hAnsi="Tahoma"/>
                <w:color w:val="000000"/>
                <w:spacing w:val="1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4"/>
                <w:sz w:val="13"/>
                <w:lang w:val="hr-HR"/>
              </w:rPr>
              <w:t>DOM ZDRAVLJA SISAK</w:t>
            </w:r>
          </w:p>
        </w:tc>
        <w:tc>
          <w:tcPr>
            <w:tcW w:w="1819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ind w:left="148"/>
              <w:rPr>
                <w:rFonts w:ascii="Tahoma" w:hAnsi="Tahoma"/>
                <w:color w:val="000000"/>
                <w:spacing w:val="1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0"/>
                <w:sz w:val="13"/>
                <w:lang w:val="hr-HR"/>
              </w:rPr>
              <w:t>IVANOVIĆ VILKO</w:t>
            </w:r>
          </w:p>
        </w:tc>
        <w:tc>
          <w:tcPr>
            <w:tcW w:w="2294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line="273" w:lineRule="auto"/>
              <w:ind w:left="36" w:right="180"/>
              <w:rPr>
                <w:rFonts w:ascii="Tahoma" w:hAnsi="Tahoma"/>
                <w:color w:val="000000"/>
                <w:spacing w:val="8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8"/>
                <w:sz w:val="13"/>
                <w:lang w:val="hr-HR"/>
              </w:rPr>
              <w:t xml:space="preserve">Naknada štete za neisplačene </w:t>
            </w:r>
            <w:r>
              <w:rPr>
                <w:rFonts w:ascii="Tahoma" w:hAnsi="Tahoma"/>
                <w:color w:val="000000"/>
                <w:spacing w:val="2"/>
                <w:sz w:val="13"/>
                <w:lang w:val="hr-HR"/>
              </w:rPr>
              <w:t>plače zbog izvanrednog, neopra</w:t>
            </w:r>
            <w:r>
              <w:rPr>
                <w:rFonts w:ascii="Tahoma" w:hAnsi="Tahoma"/>
                <w:color w:val="000000"/>
                <w:spacing w:val="2"/>
                <w:sz w:val="13"/>
                <w:lang w:val="hr-HR"/>
              </w:rPr>
              <w:softHyphen/>
            </w: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vdanog otkaza Ugovora o radu</w:t>
            </w:r>
          </w:p>
        </w:tc>
        <w:tc>
          <w:tcPr>
            <w:tcW w:w="1210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727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56.168,24</w:t>
            </w:r>
          </w:p>
        </w:tc>
        <w:tc>
          <w:tcPr>
            <w:tcW w:w="1915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862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62.000,00</w:t>
            </w:r>
          </w:p>
        </w:tc>
        <w:tc>
          <w:tcPr>
            <w:tcW w:w="249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324"/>
              <w:ind w:left="38"/>
              <w:rPr>
                <w:rFonts w:ascii="Tahoma" w:hAnsi="Tahoma"/>
                <w:color w:val="000000"/>
                <w:spacing w:val="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2019 godina</w:t>
            </w:r>
          </w:p>
        </w:tc>
        <w:tc>
          <w:tcPr>
            <w:tcW w:w="1623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spacing w:before="324"/>
              <w:ind w:left="33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4.travnja 2018. godine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rPr>
                <w:rFonts w:ascii="Tahoma" w:hAnsi="Tahoma"/>
                <w:color w:val="000000"/>
                <w:sz w:val="20"/>
              </w:rPr>
            </w:pPr>
          </w:p>
        </w:tc>
      </w:tr>
      <w:tr w:rsidR="005A2B3A" w:rsidTr="00B22FC2">
        <w:trPr>
          <w:trHeight w:hRule="exact" w:val="710"/>
        </w:trPr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2</w:t>
            </w:r>
          </w:p>
        </w:tc>
        <w:tc>
          <w:tcPr>
            <w:tcW w:w="177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ind w:left="52"/>
              <w:rPr>
                <w:rFonts w:ascii="Tahoma" w:hAnsi="Tahoma"/>
                <w:color w:val="000000"/>
                <w:spacing w:val="1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4"/>
                <w:sz w:val="13"/>
                <w:lang w:val="hr-HR"/>
              </w:rPr>
              <w:t>ZIOMISLIC MATEJA</w:t>
            </w:r>
          </w:p>
        </w:tc>
        <w:tc>
          <w:tcPr>
            <w:tcW w:w="1819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ind w:left="148"/>
              <w:rPr>
                <w:rFonts w:ascii="Tahoma" w:hAnsi="Tahoma"/>
                <w:color w:val="000000"/>
                <w:spacing w:val="1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4"/>
                <w:sz w:val="13"/>
                <w:lang w:val="hr-HR"/>
              </w:rPr>
              <w:t>DOM ZDRAVLJA SISAK</w:t>
            </w:r>
          </w:p>
        </w:tc>
        <w:tc>
          <w:tcPr>
            <w:tcW w:w="2294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line="271" w:lineRule="auto"/>
              <w:ind w:left="36" w:right="144"/>
              <w:jc w:val="both"/>
              <w:rPr>
                <w:rFonts w:ascii="Tahoma" w:hAnsi="Tahoma"/>
                <w:color w:val="000000"/>
                <w:spacing w:val="2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2"/>
                <w:sz w:val="13"/>
                <w:lang w:val="hr-HR"/>
              </w:rPr>
              <w:t xml:space="preserve">Naknada štete zbog nepoštivanja </w:t>
            </w:r>
            <w:r>
              <w:rPr>
                <w:rFonts w:ascii="Tahoma" w:hAnsi="Tahoma"/>
                <w:color w:val="000000"/>
                <w:spacing w:val="3"/>
                <w:sz w:val="13"/>
                <w:lang w:val="hr-HR"/>
              </w:rPr>
              <w:t xml:space="preserve">ugovora o specijalizaciji za spec. </w:t>
            </w: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pedijatrije</w:t>
            </w:r>
          </w:p>
        </w:tc>
        <w:tc>
          <w:tcPr>
            <w:tcW w:w="1210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727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801.201,51</w:t>
            </w:r>
          </w:p>
        </w:tc>
        <w:tc>
          <w:tcPr>
            <w:tcW w:w="1915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862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900.000,00</w:t>
            </w:r>
          </w:p>
        </w:tc>
        <w:tc>
          <w:tcPr>
            <w:tcW w:w="249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324"/>
              <w:ind w:left="38"/>
              <w:rPr>
                <w:rFonts w:ascii="Tahoma" w:hAnsi="Tahoma"/>
                <w:color w:val="000000"/>
                <w:spacing w:val="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2019-2020 godina</w:t>
            </w:r>
          </w:p>
        </w:tc>
        <w:tc>
          <w:tcPr>
            <w:tcW w:w="1623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spacing w:before="324"/>
              <w:ind w:left="33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1.veljače 2017. godine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rPr>
                <w:rFonts w:ascii="Tahoma" w:hAnsi="Tahoma"/>
                <w:color w:val="000000"/>
                <w:sz w:val="20"/>
              </w:rPr>
            </w:pPr>
          </w:p>
        </w:tc>
      </w:tr>
      <w:tr w:rsidR="005A2B3A" w:rsidTr="00B22FC2">
        <w:trPr>
          <w:trHeight w:hRule="exact" w:val="701"/>
        </w:trPr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jc w:val="center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3</w:t>
            </w:r>
          </w:p>
        </w:tc>
        <w:tc>
          <w:tcPr>
            <w:tcW w:w="177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ind w:left="52"/>
              <w:rPr>
                <w:rFonts w:ascii="Tahoma" w:hAnsi="Tahoma"/>
                <w:color w:val="000000"/>
                <w:spacing w:val="1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6"/>
                <w:sz w:val="13"/>
                <w:lang w:val="hr-HR"/>
              </w:rPr>
              <w:t>FUNDAK SAŠA</w:t>
            </w:r>
          </w:p>
        </w:tc>
        <w:tc>
          <w:tcPr>
            <w:tcW w:w="1819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ind w:left="148"/>
              <w:rPr>
                <w:rFonts w:ascii="Tahoma" w:hAnsi="Tahoma"/>
                <w:color w:val="000000"/>
                <w:spacing w:val="1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4"/>
                <w:sz w:val="13"/>
                <w:lang w:val="hr-HR"/>
              </w:rPr>
              <w:t>DOM ZDRAVLJA SISAK</w:t>
            </w:r>
          </w:p>
        </w:tc>
        <w:tc>
          <w:tcPr>
            <w:tcW w:w="2294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line="268" w:lineRule="auto"/>
              <w:ind w:left="36" w:right="108"/>
              <w:jc w:val="both"/>
              <w:rPr>
                <w:rFonts w:ascii="Tahoma" w:hAnsi="Tahoma"/>
                <w:color w:val="000000"/>
                <w:spacing w:val="3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3"/>
                <w:sz w:val="13"/>
                <w:lang w:val="hr-HR"/>
              </w:rPr>
              <w:t xml:space="preserve">Naknada štete zbog nepoštivanja </w:t>
            </w: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 xml:space="preserve">ugovora o specijalizaciji za spec. </w:t>
            </w:r>
            <w:r>
              <w:rPr>
                <w:rFonts w:ascii="Tahoma" w:hAnsi="Tahoma"/>
                <w:color w:val="000000"/>
                <w:spacing w:val="8"/>
                <w:sz w:val="13"/>
                <w:lang w:val="hr-HR"/>
              </w:rPr>
              <w:t>med.rada</w:t>
            </w:r>
          </w:p>
        </w:tc>
        <w:tc>
          <w:tcPr>
            <w:tcW w:w="1210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727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193.277,08</w:t>
            </w:r>
          </w:p>
        </w:tc>
        <w:tc>
          <w:tcPr>
            <w:tcW w:w="1915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862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230.000,00</w:t>
            </w:r>
          </w:p>
        </w:tc>
        <w:tc>
          <w:tcPr>
            <w:tcW w:w="249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324"/>
              <w:ind w:left="38"/>
              <w:rPr>
                <w:rFonts w:ascii="Tahoma" w:hAnsi="Tahoma"/>
                <w:color w:val="000000"/>
                <w:spacing w:val="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2019-2020 godina</w:t>
            </w:r>
          </w:p>
        </w:tc>
        <w:tc>
          <w:tcPr>
            <w:tcW w:w="1623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spacing w:before="288"/>
              <w:ind w:left="33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31.prosinca 2018.godine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rPr>
                <w:rFonts w:ascii="Tahoma" w:hAnsi="Tahoma"/>
                <w:color w:val="000000"/>
                <w:sz w:val="20"/>
              </w:rPr>
            </w:pPr>
          </w:p>
        </w:tc>
      </w:tr>
      <w:tr w:rsidR="005A2B3A" w:rsidTr="00B22FC2">
        <w:trPr>
          <w:trHeight w:hRule="exact" w:val="725"/>
        </w:trPr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144"/>
              <w:jc w:val="center"/>
              <w:rPr>
                <w:rFonts w:ascii="Tahoma" w:hAnsi="Tahoma"/>
                <w:color w:val="000000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z w:val="13"/>
                <w:lang w:val="hr-HR"/>
              </w:rPr>
              <w:t>4</w:t>
            </w:r>
          </w:p>
        </w:tc>
        <w:tc>
          <w:tcPr>
            <w:tcW w:w="177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144"/>
              <w:ind w:left="52"/>
              <w:rPr>
                <w:rFonts w:ascii="Tahoma" w:hAnsi="Tahoma"/>
                <w:color w:val="000000"/>
                <w:spacing w:val="1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4"/>
                <w:sz w:val="13"/>
                <w:lang w:val="hr-HR"/>
              </w:rPr>
              <w:t>DOM ZORAVJA SISAK</w:t>
            </w:r>
          </w:p>
        </w:tc>
        <w:tc>
          <w:tcPr>
            <w:tcW w:w="1819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144"/>
              <w:ind w:left="148"/>
              <w:rPr>
                <w:rFonts w:ascii="Tahoma" w:hAnsi="Tahoma"/>
                <w:color w:val="000000"/>
                <w:spacing w:val="1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16"/>
                <w:sz w:val="13"/>
                <w:lang w:val="hr-HR"/>
              </w:rPr>
              <w:t>KLOPAC ZORAN</w:t>
            </w:r>
          </w:p>
        </w:tc>
        <w:tc>
          <w:tcPr>
            <w:tcW w:w="2294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5A2B3A" w:rsidRDefault="005A2B3A" w:rsidP="00B22FC2">
            <w:pPr>
              <w:spacing w:line="280" w:lineRule="auto"/>
              <w:ind w:left="36" w:right="900"/>
              <w:rPr>
                <w:rFonts w:ascii="Tahoma" w:hAnsi="Tahoma"/>
                <w:color w:val="000000"/>
                <w:spacing w:val="3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3"/>
                <w:sz w:val="13"/>
                <w:lang w:val="hr-HR"/>
              </w:rPr>
              <w:t xml:space="preserve">Naknada štele usljed </w:t>
            </w:r>
            <w:r>
              <w:rPr>
                <w:rFonts w:ascii="Tahoma" w:hAnsi="Tahoma"/>
                <w:color w:val="000000"/>
                <w:spacing w:val="5"/>
                <w:sz w:val="13"/>
                <w:lang w:val="hr-HR"/>
              </w:rPr>
              <w:t>ozljedivania na radu</w:t>
            </w:r>
          </w:p>
        </w:tc>
        <w:tc>
          <w:tcPr>
            <w:tcW w:w="1210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727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10.200,00</w:t>
            </w:r>
          </w:p>
        </w:tc>
        <w:tc>
          <w:tcPr>
            <w:tcW w:w="1915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tabs>
                <w:tab w:val="decimal" w:pos="862"/>
              </w:tabs>
              <w:spacing w:before="324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15.000,00</w:t>
            </w:r>
          </w:p>
        </w:tc>
        <w:tc>
          <w:tcPr>
            <w:tcW w:w="249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:rsidR="005A2B3A" w:rsidRDefault="005A2B3A" w:rsidP="00B22FC2">
            <w:pPr>
              <w:spacing w:before="324"/>
              <w:ind w:left="38"/>
              <w:rPr>
                <w:rFonts w:ascii="Tahoma" w:hAnsi="Tahoma"/>
                <w:color w:val="000000"/>
                <w:spacing w:val="6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6"/>
                <w:sz w:val="13"/>
                <w:lang w:val="hr-HR"/>
              </w:rPr>
              <w:t>2019 godina</w:t>
            </w:r>
          </w:p>
        </w:tc>
        <w:tc>
          <w:tcPr>
            <w:tcW w:w="1623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spacing w:before="324"/>
              <w:ind w:left="33"/>
              <w:rPr>
                <w:rFonts w:ascii="Tahoma" w:hAnsi="Tahoma"/>
                <w:color w:val="000000"/>
                <w:spacing w:val="4"/>
                <w:sz w:val="13"/>
                <w:lang w:val="hr-HR"/>
              </w:rPr>
            </w:pPr>
            <w:r>
              <w:rPr>
                <w:rFonts w:ascii="Tahoma" w:hAnsi="Tahoma"/>
                <w:color w:val="000000"/>
                <w:spacing w:val="4"/>
                <w:sz w:val="13"/>
                <w:lang w:val="hr-HR"/>
              </w:rPr>
              <w:t>23.srpnja 2012. godine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B3A" w:rsidRDefault="005A2B3A" w:rsidP="00B22FC2">
            <w:pPr>
              <w:rPr>
                <w:rFonts w:ascii="Tahoma" w:hAnsi="Tahoma"/>
                <w:color w:val="000000"/>
                <w:sz w:val="20"/>
              </w:rPr>
            </w:pPr>
          </w:p>
        </w:tc>
      </w:tr>
    </w:tbl>
    <w:p w:rsidR="005A2B3A" w:rsidRDefault="005A2B3A" w:rsidP="005A2B3A"/>
    <w:tbl>
      <w:tblPr>
        <w:tblW w:w="16640" w:type="dxa"/>
        <w:tblLook w:val="04A0" w:firstRow="1" w:lastRow="0" w:firstColumn="1" w:lastColumn="0" w:noHBand="0" w:noVBand="1"/>
      </w:tblPr>
      <w:tblGrid>
        <w:gridCol w:w="940"/>
        <w:gridCol w:w="1300"/>
        <w:gridCol w:w="1180"/>
        <w:gridCol w:w="940"/>
        <w:gridCol w:w="3420"/>
        <w:gridCol w:w="1540"/>
        <w:gridCol w:w="940"/>
        <w:gridCol w:w="940"/>
        <w:gridCol w:w="2620"/>
        <w:gridCol w:w="940"/>
        <w:gridCol w:w="940"/>
        <w:gridCol w:w="940"/>
      </w:tblGrid>
      <w:tr w:rsidR="005A2B3A" w:rsidRPr="005A2B3A" w:rsidTr="005A2B3A">
        <w:trPr>
          <w:trHeight w:val="255"/>
        </w:trPr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OPĆA BOLNICA "DR.IVO PEDIŠIĆ" SISAK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25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Sisak, 29.siječnja 2019.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255"/>
        </w:trPr>
        <w:tc>
          <w:tcPr>
            <w:tcW w:w="9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POPIS PRIMLJENIH DOKUMENATA IZ UGOVORNIH ODNOSA  KOJI MOGU POSTATI IMOVINA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Red.br.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izdavanja</w:t>
            </w:r>
          </w:p>
        </w:tc>
        <w:tc>
          <w:tcPr>
            <w:tcW w:w="5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PREDMET NABAVE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VRSTA GARANCIJE I JAMSTVA (bankovna, gotovina)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Iznos 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Davatelj garancije i jamstva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Vrijedi do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450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ugovora</w:t>
            </w:r>
          </w:p>
        </w:tc>
        <w:tc>
          <w:tcPr>
            <w:tcW w:w="43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Kratki naziv ili opis predmeta nabave</w:t>
            </w: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450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43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465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43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15.12.2017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Opskrba električne energije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zadužnica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29.051,06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HEP Opskrba d.o.o. Zagreb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108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15.01.2018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73/2017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Usluga upravljanja projektom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novčani polog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66.640,00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SI-MO-RA d.o.o. Sisk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28.02.2020.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97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29.03.2018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42-5/2018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laparoskopskih instrumenata i potrošnog materijala za elektrokirurgiju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bjanko zadužnica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5.000,00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Hospitalija trgovina d.o.o. Sv. Nedelja, Vojvodići 25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3504" w:rsidRDefault="007F3504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66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01.03.2018.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42-6/2018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laparoskopskih instrumenata i potrošnog materijala za elektrokirurgiju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bjanko zadužnica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5.000,00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Sanyko d.o.o. Zagreb, Banjavčićeva 11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100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08.03.2018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43-1/2018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kontrastnih sredstava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bankarska garancija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858,61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Medical intertrade d.o.o. Sv. Nedelja, Dr.F. Tuđmana 3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23.03.2019.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24.05.2017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43-2/2018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kontrastnih sredstava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bjanko zadužnica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5.000,00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Oktal Pharma d.o.o. Zagreb, Utinjska 40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05.04.2018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43-3/2018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kontrastnih sredstava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garancija banke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47.865,83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Medika d.d. Zagreb, Capraška 1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08.04.2019.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27.12.2018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67/2018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Uređaj za magnetsku rezonanciju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garancija banke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479.900,00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Medial d.o.o. Zagreb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30.06.2019.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03.10.2018.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68/2018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Digitalni mamograf za Odjel za radiologiju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garancija banke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58.954,40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Shimadzu d.o.o. Zagreb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25.01.2019.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24.12.2018.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120/2018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Digitalni EEG sustav s vidometrijom, polisomnografijom i čitačkom stanicom za potrebe Odjela za pedijatriju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garancija banke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23.990,00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Medial d.o.o. Zagreb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28.03.2019.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54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19.10.2017.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125-1/2018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uredskog materijala za grupu A-ZN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zadužnica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7.648,75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Narodne novine d.d.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03.10.2017.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125-2/2018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Nabava uredskog materijala za grupu B-ZN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zadužnica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20.761,44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TIP- ZAGREB d.o.o.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81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28.09.2018.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69/2017</w:t>
            </w: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Izvođenje radova na rekonstrukciji kompleksa Središnjeg paviljona Dodatak II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garancija banke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8.556.484,03  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Zajednica ponuditelja Presoflex Gradnja d.o.o. I GH Holding d.o.o.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A2B3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19.02.2020.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5A2B3A">
        <w:trPr>
          <w:trHeight w:val="81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:rsidR="007F3504" w:rsidRPr="005A2B3A" w:rsidRDefault="007F3504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7F3504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7F3504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5A2B3A" w:rsidRDefault="005A2B3A" w:rsidP="005A2B3A">
      <w:pPr>
        <w:rPr>
          <w:sz w:val="24"/>
          <w:szCs w:val="24"/>
        </w:rPr>
      </w:pPr>
      <w:r>
        <w:rPr>
          <w:sz w:val="24"/>
          <w:szCs w:val="24"/>
        </w:rPr>
        <w:lastRenderedPageBreak/>
        <w:t>OPĆA BOLNICA „DR. IVO PEDIŠIĆ</w:t>
      </w:r>
      <w:proofErr w:type="gramStart"/>
      <w:r>
        <w:rPr>
          <w:sz w:val="24"/>
          <w:szCs w:val="24"/>
        </w:rPr>
        <w:t>“ SISAK</w:t>
      </w:r>
      <w:proofErr w:type="gramEnd"/>
    </w:p>
    <w:p w:rsidR="005A2B3A" w:rsidRDefault="005A2B3A" w:rsidP="005A2B3A">
      <w:pPr>
        <w:rPr>
          <w:sz w:val="24"/>
          <w:szCs w:val="24"/>
        </w:rPr>
      </w:pPr>
      <w:r>
        <w:rPr>
          <w:sz w:val="24"/>
          <w:szCs w:val="24"/>
        </w:rPr>
        <w:t>Sisak, 29.siječnja 2019.</w:t>
      </w:r>
    </w:p>
    <w:p w:rsidR="005A2B3A" w:rsidRDefault="005A2B3A" w:rsidP="005A2B3A">
      <w:pPr>
        <w:rPr>
          <w:b/>
          <w:sz w:val="20"/>
          <w:szCs w:val="20"/>
        </w:rPr>
      </w:pPr>
      <w:r>
        <w:rPr>
          <w:sz w:val="24"/>
          <w:szCs w:val="24"/>
        </w:rPr>
        <w:t>POPIS SUDSKIH SPOROVA U TIJEKU NA DAN 31.PROSINCA 2018. GODINE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6"/>
        <w:gridCol w:w="2176"/>
        <w:gridCol w:w="1134"/>
        <w:gridCol w:w="3402"/>
        <w:gridCol w:w="1984"/>
        <w:gridCol w:w="143"/>
        <w:gridCol w:w="1983"/>
        <w:gridCol w:w="2136"/>
      </w:tblGrid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B3A" w:rsidRDefault="005A2B3A" w:rsidP="00B22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Red.</w:t>
            </w:r>
          </w:p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>broj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>Naziv suda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B3A" w:rsidRDefault="005A2B3A" w:rsidP="00B22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Broj</w:t>
            </w:r>
          </w:p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>predmeta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>Opis prirode spora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>Procjena financijskog učinka koji može proisteći iz spora kao obveza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>Procjena financijskog učinka koji može proisteći iz spora kao imovina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center"/>
            </w:pPr>
            <w:r>
              <w:rPr>
                <w:b/>
                <w:sz w:val="20"/>
                <w:szCs w:val="20"/>
              </w:rPr>
              <w:t xml:space="preserve">Procijenjeno vrijeme odljeva ili priljeva sredstava </w:t>
            </w:r>
          </w:p>
        </w:tc>
      </w:tr>
      <w:tr w:rsidR="005A2B3A" w:rsidTr="00B22FC2">
        <w:tc>
          <w:tcPr>
            <w:tcW w:w="135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B3A" w:rsidRDefault="005A2B3A" w:rsidP="005A2B3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center"/>
            </w:pPr>
            <w:r>
              <w:rPr>
                <w:b/>
                <w:sz w:val="24"/>
                <w:szCs w:val="24"/>
              </w:rPr>
              <w:t>Sudski sporovi pokrenuti protiv Opće bolnice „Dr.Ivo Pedišić“ Sisak radi naknade štete</w:t>
            </w:r>
          </w:p>
        </w:tc>
      </w:tr>
      <w:tr w:rsidR="005A2B3A" w:rsidTr="00B22FC2">
        <w:trPr>
          <w:trHeight w:val="76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Sisku, Stalna služba u Kutini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Pn-331/2015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 neimovinske štete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22.200,00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8.411,00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Pn-145/16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 tužba radi naknade neimovinske štete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880.000,00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Pn-488/2015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31.000,00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građanski sud u Zagrebu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Pn-4032/15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neimovinske štete (neadekvatno liječenje)</w:t>
            </w:r>
          </w:p>
          <w:p w:rsidR="005A2B3A" w:rsidRDefault="005A2B3A" w:rsidP="00B22FC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80.000,00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83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građanski sud u Zagrebu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Pn-1234/17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imovinske štete (gubitak uzdržavanja)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40.683,26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1194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Pn-473/2015.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5A2B3A">
            <w:pPr>
              <w:numPr>
                <w:ilvl w:val="0"/>
                <w:numId w:val="2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tužba naknada štete – RENTA</w:t>
            </w:r>
          </w:p>
          <w:p w:rsidR="005A2B3A" w:rsidRDefault="005A2B3A" w:rsidP="00B22FC2">
            <w:pPr>
              <w:ind w:left="360"/>
              <w:jc w:val="both"/>
            </w:pPr>
            <w:r>
              <w:rPr>
                <w:sz w:val="20"/>
                <w:szCs w:val="20"/>
              </w:rPr>
              <w:t>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pStyle w:val="Odlomakpopisa"/>
              <w:ind w:left="360"/>
              <w:jc w:val="right"/>
            </w:pPr>
            <w:r>
              <w:rPr>
                <w:sz w:val="20"/>
                <w:szCs w:val="20"/>
              </w:rPr>
              <w:t>229.216,30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pStyle w:val="Odlomakpopisa"/>
              <w:snapToGrid w:val="0"/>
              <w:ind w:left="36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pStyle w:val="Odlomakpopisa"/>
              <w:ind w:left="360"/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624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Pn-124/17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 xml:space="preserve">-tužba radi naknade štete  (neadekvatno liječenje)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98.000,00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1194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Kutini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P-425/11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33.107,50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583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građanski sud u Zagrebu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Pn-4429/15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111.960,00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 Stalna služba u Kutini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Pn-47/2015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 xml:space="preserve">24.020,00 kn 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93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Pn-137/17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-radi naknade štete (neadekvatno liječenje)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440.000,00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rPr>
          <w:trHeight w:val="64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P-69/12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-radi pogoršanja zdravlja, povećanje rente,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8.125,00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Pn-131/2016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 tužba radi naknade imovinske štete (gubitak zarade zbog neadekvatnog liječenja)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17.230,08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P-1386/15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(troškovi ulaganja u stan)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106.347,01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 Stalna služba u Kutini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PuP-771/15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zbog neadekvatnog liječenja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7.710,00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Pr-59/18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pStyle w:val="Odlomakpopisa"/>
              <w:ind w:left="13"/>
              <w:jc w:val="both"/>
            </w:pPr>
            <w:r>
              <w:rPr>
                <w:sz w:val="20"/>
                <w:szCs w:val="20"/>
              </w:rPr>
              <w:t>-tužba radi isplate (razlika plaće i naknade plaće)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2.550,00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rPr>
          <w:trHeight w:val="64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Pr-71/18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15.000,00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Pr-72/18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15.000,00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Pr-74/18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11.000,00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Pr-78/18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15.000,00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Pr-77/18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15.000,00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Pr-92/18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101.000,00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Pr-111/18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11.550,00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Pr-93/18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37.356,97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Pr-100/18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51.671,40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Pr-103/18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42.458,40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Pr-107/18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26.775,60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Pr-105/18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49.665,00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Pr-104/18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78.103,20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30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Pr-121/18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101.000,00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Pr-125/18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15.000,00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Pr-165/18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Pr-166/18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Pr-167/18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35.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Pr-163/18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Pr-139/18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Pr-140/18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Pr-141/18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iznos nije specificiran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Pr-108/18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24.571,80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Pr-106/18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18.264,00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44.644,00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Pr-101/18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62.401,35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Pr-99/18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51.308,40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Pr-173/18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Pr-186/18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Pr-189/18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47.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Pr-183/18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Pr-184/18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 xml:space="preserve">50.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Pr-191/18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Pr-144/18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Pr-132/18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Pr-137/18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Pr-152/18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Pr-149/18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Pr-154/18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Pr-161/18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59.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Pr-160/18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Pr-150/18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Pr-172/18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Pr-145/18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Pr-178/18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60.001,00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Pr-185/18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100.001,00 kn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Pr-146/18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Pr-159/18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Pr-156/18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isplate razlike plaće i naknade plaće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Nije specificiran iznos niti je naznačen vps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Pr-64/18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utvrđivanja nedopuštenosti otkaza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2.500,00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</w:t>
            </w:r>
          </w:p>
        </w:tc>
      </w:tr>
      <w:tr w:rsidR="005A2B3A" w:rsidTr="00B22FC2">
        <w:tc>
          <w:tcPr>
            <w:tcW w:w="135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5A2B3A">
            <w:pPr>
              <w:numPr>
                <w:ilvl w:val="0"/>
                <w:numId w:val="1"/>
              </w:numPr>
              <w:suppressAutoHyphens/>
              <w:spacing w:after="200" w:line="276" w:lineRule="auto"/>
            </w:pPr>
            <w:r>
              <w:rPr>
                <w:b/>
                <w:sz w:val="24"/>
                <w:szCs w:val="24"/>
              </w:rPr>
              <w:t>Sudski sporovi koje je pokrenula OB Sisak – tužbe radi naknade štete i regresne tužbe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Pr-298/16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– troškovi specijalizacije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450.543,25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P-418/18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-regresna tužba protiv osiguravajućeg društva zbog neisplate štete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31.850,00 kn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600.000,00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P-453/16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 regresna tužba protiv osiguravajućeg društva zbog neisplate štete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 xml:space="preserve">22.500,00 kn </w:t>
            </w:r>
          </w:p>
          <w:p w:rsidR="005A2B3A" w:rsidRDefault="005A2B3A" w:rsidP="00B22FC2">
            <w:pPr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600.000,00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Predano na sud 31.10.2018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– troškovi specijalizacije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 xml:space="preserve">475.490,06 kn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Pr-54/17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tužba radi naknade štete – troškovi specijalizacije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 xml:space="preserve">531.415,48 kn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Predano na sud 31.10.2018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– troškovi specijalizacije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450.383,37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Općinski sud u Sisku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r>
              <w:rPr>
                <w:sz w:val="20"/>
                <w:szCs w:val="20"/>
              </w:rPr>
              <w:t>Pr-53/17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>-tužba radi naknade štete – troškovi specijalizacije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373.273,76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2019.-2020.</w:t>
            </w:r>
          </w:p>
        </w:tc>
      </w:tr>
      <w:tr w:rsidR="005A2B3A" w:rsidTr="00B22FC2">
        <w:tc>
          <w:tcPr>
            <w:tcW w:w="7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both"/>
            </w:pPr>
            <w:r>
              <w:rPr>
                <w:sz w:val="20"/>
                <w:szCs w:val="20"/>
              </w:rPr>
              <w:t xml:space="preserve">S V E U K U P N O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4.045.455,27 kn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jc w:val="right"/>
            </w:pPr>
            <w:r>
              <w:rPr>
                <w:sz w:val="20"/>
                <w:szCs w:val="20"/>
              </w:rPr>
              <w:t>3.500.141,92 kn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B3A" w:rsidRDefault="005A2B3A" w:rsidP="00B22FC2">
            <w:pPr>
              <w:snapToGrid w:val="0"/>
              <w:jc w:val="right"/>
            </w:pPr>
          </w:p>
        </w:tc>
      </w:tr>
    </w:tbl>
    <w:p w:rsidR="005A2B3A" w:rsidRDefault="005A2B3A" w:rsidP="005A2B3A"/>
    <w:p w:rsidR="005A2B3A" w:rsidRDefault="005A2B3A" w:rsidP="005A2B3A">
      <w:pPr>
        <w:rPr>
          <w:rFonts w:eastAsia="Calibri" w:cs="Calibri"/>
        </w:rPr>
      </w:pPr>
      <w:r>
        <w:t xml:space="preserve">Napomena: Procjena vremena priljeva </w:t>
      </w:r>
      <w:proofErr w:type="gramStart"/>
      <w:r>
        <w:t>ili</w:t>
      </w:r>
      <w:proofErr w:type="gramEnd"/>
      <w:r>
        <w:t xml:space="preserve"> odljeva sredstava nije pouzdana jer nije moguće predvidjeti duljinu trajanja i tijek sudskih postupaka.</w:t>
      </w:r>
    </w:p>
    <w:p w:rsidR="005A2B3A" w:rsidRDefault="005A2B3A" w:rsidP="005A2B3A"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</w:t>
      </w:r>
    </w:p>
    <w:p w:rsidR="005A2B3A" w:rsidRDefault="005A2B3A" w:rsidP="005A2B3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2B3A" w:rsidRDefault="005A2B3A" w:rsidP="005A2B3A">
      <w:pPr>
        <w:jc w:val="center"/>
      </w:pPr>
    </w:p>
    <w:p w:rsidR="00467D5C" w:rsidRDefault="00467D5C" w:rsidP="005A2B3A">
      <w:pPr>
        <w:jc w:val="center"/>
      </w:pPr>
    </w:p>
    <w:p w:rsidR="005A2B3A" w:rsidRDefault="005A2B3A" w:rsidP="005A2B3A">
      <w:pPr>
        <w:jc w:val="center"/>
      </w:pPr>
    </w:p>
    <w:p w:rsidR="005A2B3A" w:rsidRPr="00C5075D" w:rsidRDefault="005A2B3A" w:rsidP="005A2B3A">
      <w:pPr>
        <w:rPr>
          <w:b/>
        </w:rPr>
      </w:pPr>
    </w:p>
    <w:p w:rsidR="005A2B3A" w:rsidRPr="00C5075D" w:rsidRDefault="007F3504" w:rsidP="007F3504">
      <w:pPr>
        <w:rPr>
          <w:b/>
        </w:rPr>
      </w:pPr>
      <w:r>
        <w:rPr>
          <w:b/>
        </w:rPr>
        <w:lastRenderedPageBreak/>
        <w:t>NEUROPSIHIJATRIJSKA BOLNICA DR.IVAN BARBOT POPOVAČA</w:t>
      </w:r>
    </w:p>
    <w:p w:rsidR="005A2B3A" w:rsidRDefault="005A2B3A" w:rsidP="005A2B3A"/>
    <w:p w:rsidR="005A2B3A" w:rsidRPr="00C5075D" w:rsidRDefault="005A2B3A" w:rsidP="005A2B3A"/>
    <w:p w:rsidR="005A2B3A" w:rsidRPr="00C5075D" w:rsidRDefault="005A2B3A" w:rsidP="005A2B3A">
      <w:pPr>
        <w:rPr>
          <w:b/>
        </w:rPr>
      </w:pPr>
      <w:r w:rsidRPr="00C5075D">
        <w:rPr>
          <w:b/>
        </w:rPr>
        <w:t xml:space="preserve">Popis sudskih sporova u tijeku </w:t>
      </w:r>
      <w:proofErr w:type="gramStart"/>
      <w:r w:rsidRPr="00C5075D">
        <w:rPr>
          <w:b/>
        </w:rPr>
        <w:t>na</w:t>
      </w:r>
      <w:proofErr w:type="gramEnd"/>
      <w:r w:rsidRPr="00C5075D">
        <w:rPr>
          <w:b/>
        </w:rPr>
        <w:t xml:space="preserve"> dan 31. 12. 2018. </w:t>
      </w:r>
      <w:proofErr w:type="gramStart"/>
      <w:r w:rsidRPr="00C5075D">
        <w:rPr>
          <w:b/>
        </w:rPr>
        <w:t>godine</w:t>
      </w:r>
      <w:proofErr w:type="gramEnd"/>
    </w:p>
    <w:p w:rsidR="005A2B3A" w:rsidRPr="00C5075D" w:rsidRDefault="005A2B3A" w:rsidP="005A2B3A">
      <w:pPr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3373"/>
        <w:gridCol w:w="1476"/>
        <w:gridCol w:w="1430"/>
        <w:gridCol w:w="1430"/>
      </w:tblGrid>
      <w:tr w:rsidR="005A2B3A" w:rsidRPr="00C5075D" w:rsidTr="00B22F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r w:rsidRPr="00C5075D">
              <w:t>R.br.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  <w:r w:rsidRPr="00C5075D">
              <w:t>Opis prirode spora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  <w:r w:rsidRPr="00C5075D">
              <w:t>Procjena financijskog učinka u kn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  <w:r w:rsidRPr="00C5075D">
              <w:t>Procijenjeno vrijeme odljeva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  <w:r w:rsidRPr="00C5075D">
              <w:t>Procijenjeno vrijeme priljeva</w:t>
            </w:r>
          </w:p>
        </w:tc>
      </w:tr>
      <w:tr w:rsidR="005A2B3A" w:rsidRPr="00C5075D" w:rsidTr="00B22F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r w:rsidRPr="00C5075D">
              <w:t>1.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r w:rsidRPr="00C5075D">
              <w:t xml:space="preserve">Zahtjev liječnika specijaliste za isplatu  dodataka na plaću za rad u prekovremenim satima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</w:p>
          <w:p w:rsidR="005A2B3A" w:rsidRPr="00C5075D" w:rsidRDefault="005A2B3A" w:rsidP="00B22FC2">
            <w:pPr>
              <w:jc w:val="center"/>
            </w:pPr>
            <w:r w:rsidRPr="00C5075D">
              <w:t>10.001,00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  <w:r w:rsidRPr="00C5075D">
              <w:t>2019. godina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</w:p>
          <w:p w:rsidR="005A2B3A" w:rsidRPr="00C5075D" w:rsidRDefault="005A2B3A" w:rsidP="00B22FC2">
            <w:pPr>
              <w:jc w:val="center"/>
            </w:pPr>
            <w:r w:rsidRPr="00C5075D">
              <w:t>-</w:t>
            </w:r>
          </w:p>
        </w:tc>
      </w:tr>
      <w:tr w:rsidR="005A2B3A" w:rsidRPr="00C5075D" w:rsidTr="00B22F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A" w:rsidRPr="00C5075D" w:rsidRDefault="005A2B3A" w:rsidP="00B22FC2"/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r w:rsidRPr="00C5075D">
              <w:t>UKUPNO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3A" w:rsidRPr="00C5075D" w:rsidRDefault="005A2B3A" w:rsidP="00B22FC2">
            <w:pPr>
              <w:jc w:val="center"/>
            </w:pPr>
            <w:r w:rsidRPr="00C5075D">
              <w:t>10.001,00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A" w:rsidRPr="00C5075D" w:rsidRDefault="005A2B3A" w:rsidP="00B22FC2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3A" w:rsidRPr="00C5075D" w:rsidRDefault="005A2B3A" w:rsidP="00B22FC2">
            <w:pPr>
              <w:jc w:val="center"/>
            </w:pPr>
          </w:p>
        </w:tc>
      </w:tr>
      <w:tr w:rsidR="007F3504" w:rsidRPr="00C5075D" w:rsidTr="00B22FC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4" w:rsidRPr="00C5075D" w:rsidRDefault="007F3504" w:rsidP="00B22FC2"/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4" w:rsidRPr="00C5075D" w:rsidRDefault="007F3504" w:rsidP="00B22FC2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4" w:rsidRPr="00C5075D" w:rsidRDefault="007F3504" w:rsidP="00B22FC2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4" w:rsidRPr="00C5075D" w:rsidRDefault="007F3504" w:rsidP="00B22FC2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4" w:rsidRPr="00C5075D" w:rsidRDefault="007F3504" w:rsidP="00B22FC2">
            <w:pPr>
              <w:jc w:val="center"/>
            </w:pPr>
          </w:p>
        </w:tc>
      </w:tr>
    </w:tbl>
    <w:tbl>
      <w:tblPr>
        <w:tblW w:w="11449" w:type="dxa"/>
        <w:tblInd w:w="-108" w:type="dxa"/>
        <w:tblLook w:val="04A0" w:firstRow="1" w:lastRow="0" w:firstColumn="1" w:lastColumn="0" w:noHBand="0" w:noVBand="1"/>
      </w:tblPr>
      <w:tblGrid>
        <w:gridCol w:w="108"/>
        <w:gridCol w:w="772"/>
        <w:gridCol w:w="92"/>
        <w:gridCol w:w="1040"/>
        <w:gridCol w:w="928"/>
        <w:gridCol w:w="150"/>
        <w:gridCol w:w="1434"/>
        <w:gridCol w:w="1489"/>
        <w:gridCol w:w="145"/>
        <w:gridCol w:w="1223"/>
        <w:gridCol w:w="1820"/>
        <w:gridCol w:w="1275"/>
        <w:gridCol w:w="1240"/>
      </w:tblGrid>
      <w:tr w:rsidR="005A2B3A" w:rsidRPr="005A2B3A" w:rsidTr="00B22FC2">
        <w:trPr>
          <w:gridBefore w:val="1"/>
          <w:wBefore w:w="108" w:type="dxa"/>
          <w:trHeight w:val="315"/>
        </w:trPr>
        <w:tc>
          <w:tcPr>
            <w:tcW w:w="2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  <w:p w:rsidR="007F3504" w:rsidRPr="005A2B3A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7F3504">
        <w:trPr>
          <w:gridBefore w:val="1"/>
          <w:wBefore w:w="108" w:type="dxa"/>
          <w:trHeight w:val="315"/>
        </w:trPr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2B3A" w:rsidRPr="005A2B3A" w:rsidRDefault="007F3504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lastRenderedPageBreak/>
              <w:t>DOM ZDRAVLJA PETRINJA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7F3504">
        <w:trPr>
          <w:gridBefore w:val="1"/>
          <w:wBefore w:w="108" w:type="dxa"/>
          <w:trHeight w:val="315"/>
        </w:trPr>
        <w:tc>
          <w:tcPr>
            <w:tcW w:w="2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B22FC2">
        <w:trPr>
          <w:gridBefore w:val="1"/>
          <w:wBefore w:w="108" w:type="dxa"/>
          <w:trHeight w:val="630"/>
        </w:trPr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B22FC2">
        <w:trPr>
          <w:gridBefore w:val="1"/>
          <w:wBefore w:w="108" w:type="dxa"/>
          <w:trHeight w:val="375"/>
        </w:trPr>
        <w:tc>
          <w:tcPr>
            <w:tcW w:w="88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hr-HR" w:eastAsia="hr-HR"/>
              </w:rPr>
              <w:t>POPIS SUDSKIH SPOROVA U TIJEKU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B22FC2">
        <w:trPr>
          <w:gridBefore w:val="1"/>
          <w:wBefore w:w="108" w:type="dxa"/>
          <w:trHeight w:val="315"/>
        </w:trPr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5A2B3A" w:rsidRPr="005A2B3A" w:rsidTr="00B22FC2">
        <w:trPr>
          <w:gridBefore w:val="1"/>
          <w:wBefore w:w="108" w:type="dxa"/>
          <w:trHeight w:val="915"/>
        </w:trPr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Red.br.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Tuženik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Tužitelj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Sažeti opis prirode spora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Iznos glavnice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Procijenjeno vrijeme odljeva ili priljeva sredstava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Početak sudskog spora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Napomena</w:t>
            </w:r>
          </w:p>
        </w:tc>
      </w:tr>
      <w:tr w:rsidR="005A2B3A" w:rsidRPr="005A2B3A" w:rsidTr="00B22FC2">
        <w:trPr>
          <w:gridBefore w:val="1"/>
          <w:wBefore w:w="108" w:type="dxa"/>
          <w:trHeight w:val="675"/>
        </w:trPr>
        <w:tc>
          <w:tcPr>
            <w:tcW w:w="8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DZ Petrinja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Fizička osoba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Naknada štete zbog liječničke pogreške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kraj 2019.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10.12.2013.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 </w:t>
            </w:r>
          </w:p>
        </w:tc>
      </w:tr>
      <w:tr w:rsidR="005A2B3A" w:rsidRPr="005A2B3A" w:rsidTr="00B22FC2">
        <w:trPr>
          <w:gridBefore w:val="1"/>
          <w:wBefore w:w="108" w:type="dxa"/>
          <w:trHeight w:val="600"/>
        </w:trPr>
        <w:tc>
          <w:tcPr>
            <w:tcW w:w="8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DZ Petrinja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Fizička osoba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Naknada štete zbog liječničke pogreške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kraj 2019.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11.12.2013.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 </w:t>
            </w:r>
          </w:p>
        </w:tc>
      </w:tr>
      <w:tr w:rsidR="005A2B3A" w:rsidRPr="005A2B3A" w:rsidTr="00B22FC2">
        <w:trPr>
          <w:gridBefore w:val="1"/>
          <w:wBefore w:w="108" w:type="dxa"/>
          <w:trHeight w:val="615"/>
        </w:trPr>
        <w:tc>
          <w:tcPr>
            <w:tcW w:w="8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3.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DZ Petrinja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Fizička osoba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Naknada štete zbog liječničke pogreške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353.000,00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kraj 2019.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23.12.2013.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color w:val="000000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color w:val="000000"/>
                <w:lang w:val="hr-HR" w:eastAsia="hr-HR"/>
              </w:rPr>
              <w:t> </w:t>
            </w:r>
          </w:p>
        </w:tc>
      </w:tr>
      <w:tr w:rsidR="005A2B3A" w:rsidRPr="005A2B3A" w:rsidTr="00B22FC2">
        <w:trPr>
          <w:gridBefore w:val="1"/>
          <w:wBefore w:w="108" w:type="dxa"/>
          <w:trHeight w:val="660"/>
        </w:trPr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UKUPNO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3A" w:rsidRPr="005A2B3A" w:rsidRDefault="005A2B3A" w:rsidP="005A2B3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853.000,00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B3A" w:rsidRPr="005A2B3A" w:rsidRDefault="005A2B3A" w:rsidP="005A2B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A2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 </w:t>
            </w:r>
          </w:p>
        </w:tc>
      </w:tr>
      <w:tr w:rsidR="00B22FC2" w:rsidRPr="00194027" w:rsidTr="00B22FC2">
        <w:tblPrEx>
          <w:tblLook w:val="0000" w:firstRow="0" w:lastRow="0" w:firstColumn="0" w:lastColumn="0" w:noHBand="0" w:noVBand="0"/>
        </w:tblPrEx>
        <w:trPr>
          <w:gridAfter w:val="4"/>
          <w:wAfter w:w="5558" w:type="dxa"/>
          <w:trHeight w:val="255"/>
        </w:trPr>
        <w:tc>
          <w:tcPr>
            <w:tcW w:w="5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194027" w:rsidRDefault="00B22FC2" w:rsidP="00B22FC2">
            <w:pPr>
              <w:jc w:val="center"/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</w:tr>
      <w:tr w:rsidR="00B22FC2" w:rsidRPr="00194027" w:rsidTr="00B22FC2">
        <w:tblPrEx>
          <w:tblLook w:val="0000" w:firstRow="0" w:lastRow="0" w:firstColumn="0" w:lastColumn="0" w:noHBand="0" w:noVBand="0"/>
        </w:tblPrEx>
        <w:trPr>
          <w:gridAfter w:val="4"/>
          <w:wAfter w:w="5558" w:type="dxa"/>
          <w:trHeight w:val="255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3CFE" w:rsidRPr="00194027" w:rsidRDefault="00BE3CFE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3CFE" w:rsidRPr="00194027" w:rsidRDefault="00BE3CFE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ZAVOD ZA JAVNO ZDRAVSTVO SMŽ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</w:tr>
      <w:tr w:rsidR="00B22FC2" w:rsidRPr="00194027" w:rsidTr="00B22FC2">
        <w:tblPrEx>
          <w:tblLook w:val="0000" w:firstRow="0" w:lastRow="0" w:firstColumn="0" w:lastColumn="0" w:noHBand="0" w:noVBand="0"/>
        </w:tblPrEx>
        <w:trPr>
          <w:gridAfter w:val="4"/>
          <w:wAfter w:w="5558" w:type="dxa"/>
          <w:trHeight w:val="1320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Sažeti opis prirode posla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Procjena financijskog učinka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Procijenjeno vrijeme odljeva ili priljeva sredstava</w:t>
            </w:r>
          </w:p>
        </w:tc>
      </w:tr>
      <w:tr w:rsidR="00B22FC2" w:rsidRPr="00194027" w:rsidTr="00B22FC2">
        <w:tblPrEx>
          <w:tblLook w:val="0000" w:firstRow="0" w:lastRow="0" w:firstColumn="0" w:lastColumn="0" w:noHBand="0" w:noVBand="0"/>
        </w:tblPrEx>
        <w:trPr>
          <w:gridAfter w:val="4"/>
          <w:wAfter w:w="5558" w:type="dxa"/>
          <w:trHeight w:val="1350"/>
        </w:trPr>
        <w:tc>
          <w:tcPr>
            <w:tcW w:w="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jc w:val="center"/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Naknada štete zbog neispunjenja ugovornih obveza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jc w:val="right"/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237.448,01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194027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194027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kraj 2019.</w:t>
            </w:r>
          </w:p>
        </w:tc>
      </w:tr>
    </w:tbl>
    <w:p w:rsidR="00B22FC2" w:rsidRDefault="00B22FC2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22FC2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  <w:r>
        <w:rPr>
          <w:rFonts w:ascii="Verdana" w:hAnsi="Verdana" w:cs="Arial"/>
          <w:sz w:val="20"/>
          <w:lang w:val="hr-HR"/>
        </w:rPr>
        <w:t>-popis sudskih sporova u tijeku</w:t>
      </w:r>
    </w:p>
    <w:p w:rsidR="00B22FC2" w:rsidRDefault="00B22FC2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E3CFE" w:rsidRDefault="00BE3CFE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22FC2" w:rsidRDefault="00B22FC2" w:rsidP="00B22FC2">
      <w:pPr>
        <w:pStyle w:val="Tijeloteksta3"/>
        <w:rPr>
          <w:rFonts w:ascii="Verdana" w:hAnsi="Verdana" w:cs="Arial"/>
          <w:sz w:val="20"/>
          <w:lang w:val="hr-HR"/>
        </w:rPr>
      </w:pPr>
    </w:p>
    <w:p w:rsidR="00B22FC2" w:rsidRDefault="00B22FC2" w:rsidP="00B22FC2">
      <w:pPr>
        <w:pStyle w:val="Tijeloteksta3"/>
        <w:rPr>
          <w:rFonts w:ascii="Verdana" w:hAnsi="Verdana" w:cs="Arial"/>
          <w:sz w:val="20"/>
          <w:lang w:val="hr-HR"/>
        </w:rPr>
      </w:pPr>
    </w:p>
    <w:tbl>
      <w:tblPr>
        <w:tblW w:w="9912" w:type="dxa"/>
        <w:tblInd w:w="-15" w:type="dxa"/>
        <w:tblLook w:val="0000" w:firstRow="0" w:lastRow="0" w:firstColumn="0" w:lastColumn="0" w:noHBand="0" w:noVBand="0"/>
      </w:tblPr>
      <w:tblGrid>
        <w:gridCol w:w="108"/>
        <w:gridCol w:w="474"/>
        <w:gridCol w:w="382"/>
        <w:gridCol w:w="894"/>
        <w:gridCol w:w="566"/>
        <w:gridCol w:w="710"/>
        <w:gridCol w:w="1134"/>
        <w:gridCol w:w="36"/>
        <w:gridCol w:w="1100"/>
        <w:gridCol w:w="1168"/>
        <w:gridCol w:w="12"/>
        <w:gridCol w:w="1614"/>
        <w:gridCol w:w="1180"/>
        <w:gridCol w:w="534"/>
      </w:tblGrid>
      <w:tr w:rsidR="00B22FC2" w:rsidRPr="007B7352" w:rsidTr="00B22FC2">
        <w:trPr>
          <w:gridBefore w:val="1"/>
          <w:wBefore w:w="108" w:type="dxa"/>
          <w:trHeight w:val="255"/>
        </w:trPr>
        <w:tc>
          <w:tcPr>
            <w:tcW w:w="9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bookmarkStart w:id="0" w:name="RANGE!A1:E10"/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POPIS UGOVORNIH ODNOSA</w:t>
            </w:r>
            <w:bookmarkEnd w:id="0"/>
          </w:p>
        </w:tc>
      </w:tr>
      <w:tr w:rsidR="00B22FC2" w:rsidRPr="007B7352" w:rsidTr="00B22FC2">
        <w:trPr>
          <w:gridBefore w:val="1"/>
          <w:wBefore w:w="108" w:type="dxa"/>
          <w:trHeight w:val="255"/>
        </w:trPr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</w:tr>
      <w:tr w:rsidR="00B22FC2" w:rsidRPr="007B7352" w:rsidTr="00B22FC2">
        <w:trPr>
          <w:gridBefore w:val="1"/>
          <w:wBefore w:w="108" w:type="dxa"/>
          <w:trHeight w:val="133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Datum izdavanja/        primanja jamstva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Instrument osiguranja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Iznos danog/primljenog jamstva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Verdana" w:hAnsi="Verdana" w:cs="Arial"/>
                <w:b/>
                <w:i/>
                <w:iCs/>
                <w:sz w:val="20"/>
                <w:szCs w:val="20"/>
                <w:lang w:val="hr-HR" w:eastAsia="hr-HR"/>
              </w:rPr>
              <w:t>Namjena</w:t>
            </w:r>
          </w:p>
        </w:tc>
      </w:tr>
      <w:tr w:rsidR="00B22FC2" w:rsidRPr="007B7352" w:rsidTr="00B22FC2">
        <w:trPr>
          <w:gridBefore w:val="1"/>
          <w:wBefore w:w="108" w:type="dxa"/>
          <w:trHeight w:val="720"/>
        </w:trPr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11.12.2013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50.000,00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osiguranje plaćanja</w:t>
            </w:r>
          </w:p>
        </w:tc>
      </w:tr>
      <w:tr w:rsidR="00B22FC2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20.10.2015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100.000,00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 xml:space="preserve"> jamstvo za dobro izvršenje ugovora</w:t>
            </w:r>
          </w:p>
        </w:tc>
      </w:tr>
      <w:tr w:rsidR="00B22FC2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21.12.2016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200.000,00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 xml:space="preserve"> jamstvo za dobro izvršenje ugovora</w:t>
            </w:r>
          </w:p>
        </w:tc>
      </w:tr>
      <w:tr w:rsidR="00B22FC2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30.8.2017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200.000,00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 xml:space="preserve"> jamstvo za dobro izvršenje ugovora</w:t>
            </w:r>
          </w:p>
        </w:tc>
      </w:tr>
      <w:tr w:rsidR="00B22FC2" w:rsidRPr="007B7352" w:rsidTr="00B22FC2">
        <w:trPr>
          <w:gridBefore w:val="1"/>
          <w:wBefore w:w="108" w:type="dxa"/>
          <w:trHeight w:val="585"/>
        </w:trPr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24.10.2017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50.000,00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 xml:space="preserve"> jamstvo za dobro izvršenje ugovora</w:t>
            </w:r>
          </w:p>
        </w:tc>
      </w:tr>
      <w:tr w:rsidR="00B22FC2" w:rsidRPr="007B7352" w:rsidTr="00B22FC2">
        <w:trPr>
          <w:gridBefore w:val="1"/>
          <w:wBefore w:w="108" w:type="dxa"/>
          <w:trHeight w:val="525"/>
        </w:trPr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lastRenderedPageBreak/>
              <w:t>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11.1.2018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100.000,00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 xml:space="preserve"> jamstvo za dobro izv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r</w:t>
            </w: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šenje ugovora</w:t>
            </w:r>
          </w:p>
        </w:tc>
      </w:tr>
      <w:tr w:rsidR="00B22FC2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22.11.2018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bjanko  zadužnica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FC2" w:rsidRPr="007B7352" w:rsidRDefault="00B22FC2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60.000,00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C2" w:rsidRPr="007B7352" w:rsidRDefault="00B22FC2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  <w:r w:rsidRPr="007B7352"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  <w:t>jamstvo za ozbiljnost ponude</w:t>
            </w:r>
          </w:p>
        </w:tc>
      </w:tr>
      <w:tr w:rsidR="00BE3CFE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FE" w:rsidRPr="007B7352" w:rsidRDefault="00BE3CFE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</w:tr>
      <w:tr w:rsidR="00BE3CFE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FE" w:rsidRPr="007B7352" w:rsidRDefault="00BE3CFE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</w:tr>
      <w:tr w:rsidR="00BE3CFE" w:rsidRPr="007B7352" w:rsidTr="00B22FC2">
        <w:trPr>
          <w:gridBefore w:val="1"/>
          <w:wBefore w:w="108" w:type="dxa"/>
          <w:trHeight w:val="51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CFE" w:rsidRPr="007B7352" w:rsidRDefault="00BE3CFE" w:rsidP="00B22FC2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FE" w:rsidRPr="007B7352" w:rsidRDefault="00BE3CFE" w:rsidP="00B22FC2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val="hr-HR" w:eastAsia="hr-HR"/>
              </w:rPr>
            </w:pP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167"/>
        </w:trPr>
        <w:tc>
          <w:tcPr>
            <w:tcW w:w="93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i/>
                <w:lang w:eastAsia="hr-HR"/>
              </w:rPr>
            </w:pPr>
            <w:r>
              <w:rPr>
                <w:rFonts w:ascii="Calibri" w:eastAsia="Times New Roman" w:hAnsi="Calibri" w:cs="Calibri"/>
                <w:i/>
                <w:lang w:eastAsia="hr-HR"/>
              </w:rPr>
              <w:t xml:space="preserve">Obvezna bilješka uz Bilancu 1: </w:t>
            </w:r>
            <w:r w:rsidRPr="00DB5D83">
              <w:rPr>
                <w:rFonts w:ascii="Calibri" w:eastAsia="Times New Roman" w:hAnsi="Calibri" w:cs="Calibri"/>
                <w:i/>
                <w:lang w:eastAsia="hr-HR"/>
              </w:rPr>
              <w:t>Popis ugovornih obveza i slično koji uz ispunjenje određenih uvjeta mogu postati obveza ili imovina</w:t>
            </w:r>
            <w:r w:rsidR="00BE3CFE">
              <w:rPr>
                <w:rFonts w:ascii="Calibri" w:eastAsia="Times New Roman" w:hAnsi="Calibri" w:cs="Calibri"/>
                <w:i/>
                <w:lang w:eastAsia="hr-HR"/>
              </w:rPr>
              <w:t xml:space="preserve">  ZAVOD ZA HITNU MEDICINU SISAČKO-MOSLAVAČKE ŽUPANIJE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16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E3CFE" w:rsidRDefault="00BE3CFE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E3CFE" w:rsidRDefault="00BE3CFE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E3CFE" w:rsidRPr="00DB5D83" w:rsidRDefault="00BE3CFE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5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R.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DB5D83">
              <w:rPr>
                <w:rFonts w:ascii="Calibri" w:eastAsia="Times New Roman" w:hAnsi="Calibri" w:cs="Calibri"/>
                <w:lang w:eastAsia="hr-HR"/>
              </w:rPr>
              <w:t>br.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Datum izdavanja jamstva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Instrument osiguranja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Iznos danog jamstva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Primatelj jamstva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Namjena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Dokument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Rok važenja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29.5.2014.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40.662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VB leasing d.o.o.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56918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2019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lastRenderedPageBreak/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29.5.2014.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40.662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VB leasing d.o.o.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56919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2019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29.5.2014.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46.471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VB leasing d.o.o.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56920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2019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29.5.2014.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46.471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VB leasing d.o.o.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56921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2019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29.5.2014.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46.471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VB leasing d.o.o.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56922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2019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29.5.2014.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65.545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VB leasing d.o.o.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56923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2019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3.8.2016.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319.130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OTP Leasing d.d.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1022435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2021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3.8.2016.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321.600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OTP Leasing d.d.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1022437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2021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lastRenderedPageBreak/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3.8.2016.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257.050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OTP Leasing d.d.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1022438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2021</w:t>
            </w:r>
          </w:p>
        </w:tc>
      </w:tr>
      <w:tr w:rsidR="00B22FC2" w:rsidRPr="00DB5D83" w:rsidTr="00B22FC2">
        <w:tblPrEx>
          <w:tblLook w:val="04A0" w:firstRow="1" w:lastRow="0" w:firstColumn="1" w:lastColumn="0" w:noHBand="0" w:noVBand="1"/>
        </w:tblPrEx>
        <w:trPr>
          <w:gridAfter w:val="1"/>
          <w:wAfter w:w="534" w:type="dxa"/>
          <w:trHeight w:val="33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3.8.2016.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zadužnica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242.500 kn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OTP Leasing d.d.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osiguranje plaćanja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ugovor o leasingu br. 1022439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DB5D83" w:rsidRDefault="00B22FC2" w:rsidP="00B22FC2">
            <w:pPr>
              <w:rPr>
                <w:rFonts w:ascii="Calibri" w:eastAsia="Times New Roman" w:hAnsi="Calibri" w:cs="Calibri"/>
                <w:lang w:eastAsia="hr-HR"/>
              </w:rPr>
            </w:pPr>
            <w:r w:rsidRPr="00DB5D83">
              <w:rPr>
                <w:rFonts w:ascii="Calibri" w:eastAsia="Times New Roman" w:hAnsi="Calibri" w:cs="Calibri"/>
                <w:lang w:eastAsia="hr-HR"/>
              </w:rPr>
              <w:t>kolovoz 2021</w:t>
            </w:r>
          </w:p>
        </w:tc>
      </w:tr>
    </w:tbl>
    <w:p w:rsidR="00B22FC2" w:rsidRDefault="00B22FC2" w:rsidP="00B22FC2">
      <w:pPr>
        <w:jc w:val="both"/>
        <w:rPr>
          <w:sz w:val="24"/>
          <w:szCs w:val="24"/>
        </w:rPr>
      </w:pPr>
    </w:p>
    <w:p w:rsidR="00B22FC2" w:rsidRDefault="00B22FC2" w:rsidP="00B22FC2">
      <w:pPr>
        <w:jc w:val="both"/>
        <w:rPr>
          <w:sz w:val="24"/>
          <w:szCs w:val="24"/>
        </w:rPr>
      </w:pPr>
    </w:p>
    <w:p w:rsidR="00B22FC2" w:rsidRDefault="00B22FC2" w:rsidP="00B22FC2">
      <w:pPr>
        <w:jc w:val="both"/>
        <w:rPr>
          <w:sz w:val="24"/>
          <w:szCs w:val="24"/>
        </w:rPr>
      </w:pPr>
    </w:p>
    <w:p w:rsidR="00B22FC2" w:rsidRDefault="00B22FC2" w:rsidP="00B22FC2">
      <w:pPr>
        <w:jc w:val="both"/>
        <w:rPr>
          <w:sz w:val="24"/>
          <w:szCs w:val="24"/>
        </w:rPr>
      </w:pPr>
    </w:p>
    <w:p w:rsidR="00B22FC2" w:rsidRDefault="00B22FC2" w:rsidP="00B22FC2">
      <w:pPr>
        <w:jc w:val="both"/>
        <w:rPr>
          <w:sz w:val="24"/>
          <w:szCs w:val="24"/>
        </w:rPr>
      </w:pPr>
    </w:p>
    <w:p w:rsidR="00B22FC2" w:rsidRDefault="00B22FC2" w:rsidP="00B22FC2">
      <w:pPr>
        <w:jc w:val="both"/>
        <w:rPr>
          <w:sz w:val="24"/>
          <w:szCs w:val="24"/>
        </w:rPr>
      </w:pPr>
    </w:p>
    <w:tbl>
      <w:tblPr>
        <w:tblW w:w="9324" w:type="dxa"/>
        <w:tblInd w:w="93" w:type="dxa"/>
        <w:tblLook w:val="04A0" w:firstRow="1" w:lastRow="0" w:firstColumn="1" w:lastColumn="0" w:noHBand="0" w:noVBand="1"/>
      </w:tblPr>
      <w:tblGrid>
        <w:gridCol w:w="464"/>
        <w:gridCol w:w="1252"/>
        <w:gridCol w:w="1560"/>
        <w:gridCol w:w="2551"/>
        <w:gridCol w:w="1930"/>
        <w:gridCol w:w="1567"/>
      </w:tblGrid>
      <w:tr w:rsidR="00B22FC2" w:rsidRPr="00910062" w:rsidTr="00B22FC2">
        <w:trPr>
          <w:trHeight w:val="536"/>
        </w:trPr>
        <w:tc>
          <w:tcPr>
            <w:tcW w:w="9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i/>
                <w:i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i/>
                <w:lang w:eastAsia="hr-HR"/>
              </w:rPr>
              <w:t xml:space="preserve">Obvezna bilješka uz Bilancu 2: </w:t>
            </w:r>
            <w:r w:rsidRPr="00910062">
              <w:rPr>
                <w:rFonts w:ascii="Calibri" w:eastAsia="Times New Roman" w:hAnsi="Calibri" w:cs="Calibri"/>
                <w:i/>
                <w:iCs/>
                <w:color w:val="000000"/>
                <w:lang w:eastAsia="hr-HR"/>
              </w:rPr>
              <w:t>Popis sudskih sporova u tijeku</w:t>
            </w:r>
          </w:p>
        </w:tc>
      </w:tr>
      <w:tr w:rsidR="00B22FC2" w:rsidRPr="00910062" w:rsidTr="00B22FC2">
        <w:trPr>
          <w:trHeight w:val="128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R. br.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Tuženik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Tužitelj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Sažeti opis prirode spora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Procjena financijskog učinka (iznos glavnice)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Procijenjeno vrijeme odljeva ili priljeva sredstava</w:t>
            </w:r>
          </w:p>
        </w:tc>
      </w:tr>
      <w:tr w:rsidR="00B22FC2" w:rsidRPr="00910062" w:rsidTr="00B22FC2">
        <w:trPr>
          <w:trHeight w:val="6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ZHM SMŽ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fizička osoba N.K.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potraživanje s osnove prekovremenog rada u tijelima tuženika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48.800,00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2020. godina</w:t>
            </w:r>
          </w:p>
        </w:tc>
      </w:tr>
      <w:tr w:rsidR="00B22FC2" w:rsidRPr="00910062" w:rsidTr="00B22FC2">
        <w:trPr>
          <w:trHeight w:val="6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ZHM SMŽ i SMŽ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fizička osoba J.R.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naknada štete zbog nezakonitog otkaza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2020. godina</w:t>
            </w:r>
          </w:p>
        </w:tc>
      </w:tr>
      <w:tr w:rsidR="00B22FC2" w:rsidRPr="00910062" w:rsidTr="00B22FC2">
        <w:trPr>
          <w:trHeight w:val="6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ZHM SMŽ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fizička osoba S.L.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naknada štete zbog ozljede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26.120,00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2020. godina</w:t>
            </w:r>
          </w:p>
        </w:tc>
      </w:tr>
      <w:tr w:rsidR="00B22FC2" w:rsidRPr="00910062" w:rsidTr="00B22FC2">
        <w:trPr>
          <w:trHeight w:val="6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ZHM SMŽ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fizička osoba A.B.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potraživanje s osnove prekovremenog rada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10.000,01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2020. godina</w:t>
            </w:r>
          </w:p>
        </w:tc>
      </w:tr>
      <w:tr w:rsidR="00B22FC2" w:rsidRPr="00910062" w:rsidTr="00B22FC2">
        <w:trPr>
          <w:trHeight w:val="6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ZHM SMŽ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fizička osoba D.T.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potraživanje s osnove prekovremenog rada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10.000,01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2020. godina</w:t>
            </w:r>
          </w:p>
        </w:tc>
      </w:tr>
      <w:tr w:rsidR="00B22FC2" w:rsidRPr="00910062" w:rsidTr="00B22FC2">
        <w:trPr>
          <w:trHeight w:val="6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ZHM SMŽ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fizička osoba K.M.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C2" w:rsidRPr="00910062" w:rsidRDefault="00B22FC2" w:rsidP="00B22FC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potraživanje s osnove prekovremenog rada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10.000,01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C2" w:rsidRPr="00910062" w:rsidRDefault="00B22FC2" w:rsidP="00B22FC2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10062">
              <w:rPr>
                <w:rFonts w:ascii="Calibri" w:eastAsia="Times New Roman" w:hAnsi="Calibri" w:cs="Calibri"/>
                <w:color w:val="000000"/>
                <w:lang w:eastAsia="hr-HR"/>
              </w:rPr>
              <w:t>2020. godina</w:t>
            </w:r>
          </w:p>
        </w:tc>
      </w:tr>
    </w:tbl>
    <w:p w:rsidR="00B22FC2" w:rsidRDefault="00B22FC2" w:rsidP="00B22FC2">
      <w:pPr>
        <w:jc w:val="both"/>
        <w:rPr>
          <w:sz w:val="24"/>
          <w:szCs w:val="24"/>
        </w:rPr>
      </w:pPr>
    </w:p>
    <w:p w:rsidR="00B22FC2" w:rsidRDefault="00B22FC2" w:rsidP="00B22FC2">
      <w:pPr>
        <w:jc w:val="both"/>
        <w:rPr>
          <w:sz w:val="24"/>
          <w:szCs w:val="24"/>
        </w:rPr>
      </w:pPr>
    </w:p>
    <w:p w:rsidR="008B3BA1" w:rsidRDefault="008B3BA1" w:rsidP="00B22FC2">
      <w:pPr>
        <w:jc w:val="both"/>
        <w:rPr>
          <w:sz w:val="24"/>
          <w:szCs w:val="24"/>
        </w:rPr>
      </w:pPr>
    </w:p>
    <w:p w:rsidR="008B3BA1" w:rsidRDefault="008B3BA1" w:rsidP="00B22FC2">
      <w:pPr>
        <w:jc w:val="both"/>
        <w:rPr>
          <w:sz w:val="24"/>
          <w:szCs w:val="24"/>
        </w:rPr>
      </w:pPr>
    </w:p>
    <w:p w:rsidR="008B3BA1" w:rsidRDefault="008B3BA1" w:rsidP="00B22FC2">
      <w:pPr>
        <w:jc w:val="both"/>
        <w:rPr>
          <w:sz w:val="24"/>
          <w:szCs w:val="24"/>
        </w:rPr>
      </w:pPr>
    </w:p>
    <w:p w:rsidR="008B3BA1" w:rsidRDefault="008B3BA1" w:rsidP="00B22FC2">
      <w:pPr>
        <w:jc w:val="both"/>
        <w:rPr>
          <w:sz w:val="24"/>
          <w:szCs w:val="24"/>
        </w:rPr>
      </w:pPr>
    </w:p>
    <w:p w:rsidR="008B3BA1" w:rsidRDefault="008B3BA1" w:rsidP="00B22FC2">
      <w:pPr>
        <w:jc w:val="both"/>
        <w:rPr>
          <w:sz w:val="24"/>
          <w:szCs w:val="24"/>
        </w:rPr>
      </w:pPr>
      <w:bookmarkStart w:id="1" w:name="_GoBack"/>
      <w:bookmarkEnd w:id="1"/>
    </w:p>
    <w:p w:rsidR="00B22FC2" w:rsidRPr="00B22FC2" w:rsidRDefault="00BE3CFE" w:rsidP="00B22FC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lastRenderedPageBreak/>
        <w:t>LJEČILIŠTE TOPUSKO</w:t>
      </w:r>
    </w:p>
    <w:tbl>
      <w:tblPr>
        <w:tblW w:w="6060" w:type="dxa"/>
        <w:tblLook w:val="04A0" w:firstRow="1" w:lastRow="0" w:firstColumn="1" w:lastColumn="0" w:noHBand="0" w:noVBand="1"/>
      </w:tblPr>
      <w:tblGrid>
        <w:gridCol w:w="960"/>
        <w:gridCol w:w="2121"/>
        <w:gridCol w:w="1303"/>
        <w:gridCol w:w="1676"/>
      </w:tblGrid>
      <w:tr w:rsidR="00AE4CB4" w:rsidRPr="00AE4CB4" w:rsidTr="00BE3CFE">
        <w:trPr>
          <w:trHeight w:val="12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</w:pPr>
            <w:r w:rsidRPr="00AE4CB4"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  <w:t>d. br.</w:t>
            </w:r>
          </w:p>
        </w:tc>
        <w:tc>
          <w:tcPr>
            <w:tcW w:w="2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</w:pPr>
            <w:r w:rsidRPr="00AE4CB4"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  <w:t>Sažeti opis prirode spora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</w:pPr>
            <w:r w:rsidRPr="00AE4CB4"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  <w:t>Procjena financijskog učinka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</w:pPr>
            <w:r w:rsidRPr="00AE4CB4">
              <w:rPr>
                <w:rFonts w:ascii="Calibri" w:eastAsia="Times New Roman" w:hAnsi="Calibri" w:cs="Arial"/>
                <w:b/>
                <w:bCs/>
                <w:color w:val="000000"/>
                <w:lang w:val="hr-HR" w:eastAsia="hr-HR"/>
              </w:rPr>
              <w:t>Procijenjeno vrijeme odljeva ili priljeva sredstava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Lječilište je pokrenulo sudski spor radi iseljenja protustranke iz stana u vlasništvu Lječilišta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10.000,01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 godina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Bivši radnik je pokrenuo spor protiv Lječilišta radi utvrđenja nezakonitosti otkaza ugovora o radu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3.500,01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 godina</w:t>
            </w:r>
          </w:p>
        </w:tc>
      </w:tr>
      <w:tr w:rsidR="00AE4CB4" w:rsidRPr="00AE4CB4" w:rsidTr="00BE3CFE">
        <w:trPr>
          <w:trHeight w:val="15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Biviš radnik je pokrenuo sudski spor radi utvrđenja nedopuštenosti Odluke o razrješenju s radnog mjesta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</w:t>
            </w:r>
          </w:p>
        </w:tc>
      </w:tr>
      <w:tr w:rsidR="00AE4CB4" w:rsidRPr="00AE4CB4" w:rsidTr="00BE3CFE">
        <w:trPr>
          <w:trHeight w:val="14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Bivši radnik je pokrenuo sudski spor radi utvrđenja nezakontosti otkaza te posljedične isplate razlike plaće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51.562,50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2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Lječilšte je pokrenulo sudski spor utvrđivanja prava vlasništva zemljišta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25.025,04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Protustranka je pokrenulo sudski spor radi utvrđenja prava vlasništva zemljišta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12.300,00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 godina</w:t>
            </w:r>
          </w:p>
        </w:tc>
      </w:tr>
      <w:tr w:rsidR="00AE4CB4" w:rsidRPr="00AE4CB4" w:rsidTr="00BE3CFE">
        <w:trPr>
          <w:trHeight w:val="21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Pacijent je pokrenuo sudski spor radi naknade štete zbog ozljeda zadobivenih prilikom provođenja fizikalne terapije prilikom pada u Lječilištu.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-95.000,00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 godina</w:t>
            </w:r>
          </w:p>
        </w:tc>
      </w:tr>
      <w:tr w:rsidR="00AE4CB4" w:rsidRPr="00AE4CB4" w:rsidTr="00BE3CFE">
        <w:trPr>
          <w:trHeight w:val="3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8.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RH je pokrenula zemljišnoknjižni ispravni postupak radi utvršenja i upisa prava vlasništva na  tri stana u zgradi u Topuskom, a kojih je Lječilište predmnijevani vlasnik. Provedenim postupkom Lječilište je steklo pravo na 9 stanova dok je za preostalih 4 ustalo s tužbom protiv RH koja je stekla pravo na iste.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500.000,00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 godina</w:t>
            </w:r>
          </w:p>
        </w:tc>
      </w:tr>
      <w:tr w:rsidR="00AE4CB4" w:rsidRPr="00AE4CB4" w:rsidTr="00BE3CFE">
        <w:trPr>
          <w:trHeight w:val="22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9.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RH je pokrenula zemljišnoknjižni ispravni postupak radi utvršenja i upisa prava vlasništva na  4 stana u zgradi u Topuskom, kojih je Lječilište predmnijevani vlasnik.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246.668,91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 godina</w:t>
            </w:r>
          </w:p>
        </w:tc>
      </w:tr>
      <w:tr w:rsidR="00AE4CB4" w:rsidRPr="00AE4CB4" w:rsidTr="00BE3CFE">
        <w:trPr>
          <w:trHeight w:val="14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Pacijent je tužio Lječilište radi naknade štete povodom pada  u prostrorijama Lječilišta neposredno nakon provedene fizikalne terapije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-25.000,00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 godina</w:t>
            </w:r>
          </w:p>
        </w:tc>
      </w:tr>
      <w:tr w:rsidR="00AE4CB4" w:rsidRPr="00AE4CB4" w:rsidTr="00BE3CFE">
        <w:trPr>
          <w:trHeight w:val="25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10.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Bivši radnik je pokrenuo sudski spor radi isplate novčanih potraživanja iz radnog odnosa za koje tvrdi da su pogrešno obračunata i to dodaci na prekovremene sate rada i uvećanje plaće za prekovremeni rad.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-100.001,00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 godina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Ovršni postupak radi isplate preostalog dijela parničnog troška.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Ovršni postupak radi isplate preostalog dijela parničnog troška.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19.960,42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Ovršni postupak radi isplate preostalog dijela parničnog troška.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61.600,00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16.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Naplata dugovanja i troškova ovrhe.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2.587,50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17.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Naplata dugovanja i troškova ovrhe.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2.587,50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18.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Naplata dugovanja i troškova ovrhe.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29.992,56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Naplata dugovanja i troškova ovrhe.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1.190,00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20.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Naplata dugovanja i troškova ovrhe.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2.250,00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  <w:tr w:rsidR="00AE4CB4" w:rsidRPr="00AE4CB4" w:rsidTr="00BE3CFE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21.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Naplata dugovanja i troškova ovrhe.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1.892,31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CB4" w:rsidRPr="00AE4CB4" w:rsidRDefault="00AE4CB4" w:rsidP="00AE4C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E4C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 godine</w:t>
            </w:r>
          </w:p>
        </w:tc>
      </w:tr>
    </w:tbl>
    <w:p w:rsidR="00840609" w:rsidRDefault="00840609"/>
    <w:sectPr w:rsidR="00840609">
      <w:pgSz w:w="16814" w:h="11890" w:orient="landscape"/>
      <w:pgMar w:top="1402" w:right="1135" w:bottom="4438" w:left="11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lbertus Medium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B3A"/>
    <w:rsid w:val="00467D5C"/>
    <w:rsid w:val="005A2B3A"/>
    <w:rsid w:val="007F3504"/>
    <w:rsid w:val="00840609"/>
    <w:rsid w:val="008B3BA1"/>
    <w:rsid w:val="00AE4CB4"/>
    <w:rsid w:val="00B03AEC"/>
    <w:rsid w:val="00B22FC2"/>
    <w:rsid w:val="00BE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C478C-D963-474D-BDBD-DC758A4B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B3A"/>
    <w:pPr>
      <w:spacing w:after="0" w:line="240" w:lineRule="auto"/>
    </w:pPr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5A2B3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lang w:val="hr-HR" w:eastAsia="zh-CN"/>
    </w:rPr>
  </w:style>
  <w:style w:type="table" w:styleId="Reetkatablice">
    <w:name w:val="Table Grid"/>
    <w:basedOn w:val="Obinatablica"/>
    <w:uiPriority w:val="39"/>
    <w:rsid w:val="005A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rsid w:val="00B22FC2"/>
    <w:pPr>
      <w:suppressAutoHyphens/>
    </w:pPr>
    <w:rPr>
      <w:rFonts w:ascii="Albertus Medium" w:eastAsia="Times New Roman" w:hAnsi="Albertus Medium" w:cs="Times New Roman"/>
      <w:b/>
      <w:kern w:val="1"/>
      <w:sz w:val="24"/>
      <w:szCs w:val="24"/>
      <w:lang w:eastAsia="ar-SA"/>
    </w:rPr>
  </w:style>
  <w:style w:type="character" w:customStyle="1" w:styleId="Tijeloteksta3Char">
    <w:name w:val="Tijelo teksta 3 Char"/>
    <w:basedOn w:val="Zadanifontodlomka"/>
    <w:link w:val="Tijeloteksta3"/>
    <w:rsid w:val="00B22FC2"/>
    <w:rPr>
      <w:rFonts w:ascii="Albertus Medium" w:eastAsia="Times New Roman" w:hAnsi="Albertus Medium" w:cs="Times New Roman"/>
      <w:b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Božica Malobabić</dc:creator>
  <cp:keywords/>
  <dc:description/>
  <cp:lastModifiedBy>Božica Malobabić</cp:lastModifiedBy>
  <cp:revision>4</cp:revision>
  <dcterms:created xsi:type="dcterms:W3CDTF">2019-03-19T10:10:00Z</dcterms:created>
  <dcterms:modified xsi:type="dcterms:W3CDTF">2019-03-19T11:23:00Z</dcterms:modified>
</cp:coreProperties>
</file>